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color w:val="auto"/>
          <w:kern w:val="0"/>
          <w:sz w:val="36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36"/>
          <w:szCs w:val="28"/>
        </w:rPr>
        <w:t>昆明理工大学研究生奖助政策简介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</w:p>
    <w:p>
      <w:pPr>
        <w:spacing w:line="360" w:lineRule="auto"/>
        <w:ind w:firstLine="570"/>
        <w:jc w:val="left"/>
        <w:rPr>
          <w:rFonts w:cs="宋体" w:asciiTheme="minorEastAsia" w:hAnsiTheme="minorEastAsia"/>
          <w:b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b/>
          <w:color w:val="auto"/>
          <w:kern w:val="0"/>
          <w:sz w:val="28"/>
          <w:szCs w:val="18"/>
        </w:rPr>
        <w:t xml:space="preserve">  一、奖学政策</w:t>
      </w:r>
    </w:p>
    <w:p>
      <w:pPr>
        <w:spacing w:line="360" w:lineRule="auto"/>
        <w:ind w:firstLine="57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（一）研究生国家奖学金</w:t>
      </w:r>
    </w:p>
    <w:p>
      <w:pPr>
        <w:spacing w:line="360" w:lineRule="auto"/>
        <w:ind w:firstLine="560" w:firstLineChars="20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研究生国家奖学金由中央财政出资设立，用于奖励普通高等学校中表现优异的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  <w:lang w:eastAsia="zh-CN"/>
        </w:rPr>
        <w:t>学制内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全日制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  <w:lang w:val="en-US" w:eastAsia="zh-CN"/>
        </w:rPr>
        <w:t>(全脱产学习)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研究生。研究生国家奖学金每年奖励4.5万名在读研究生。其中，博士研究生1万名，硕士研究生3.5万名。国家奖学金奖励标准为博士研究生每生每年3万元，硕士研究生每生每年2万元。</w:t>
      </w:r>
    </w:p>
    <w:p>
      <w:pPr>
        <w:spacing w:line="360" w:lineRule="auto"/>
        <w:ind w:firstLine="57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（二）研究生省政府奖学金</w:t>
      </w:r>
    </w:p>
    <w:p>
      <w:pPr>
        <w:spacing w:line="360" w:lineRule="auto"/>
        <w:ind w:firstLine="57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云南省研究生省政府奖学金由云南省政府出资设立，用于奖励云南省普通高等学校中表现优异的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  <w:lang w:eastAsia="zh-CN"/>
        </w:rPr>
        <w:t>学制内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全日制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  <w:lang w:eastAsia="zh-CN"/>
        </w:rPr>
        <w:t>（全脱产学习）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研究生。研究生省政府奖学金每年奖励名额为900名，其中博士研究生100名，硕士研究生800名，奖励标准为博士研究生每生每年2万元，硕士研究生每生每年1万元。</w:t>
      </w:r>
    </w:p>
    <w:p>
      <w:pPr>
        <w:spacing w:line="360" w:lineRule="auto"/>
        <w:ind w:firstLine="57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（三）研究生学业奖学金</w:t>
      </w:r>
    </w:p>
    <w:p>
      <w:pPr>
        <w:autoSpaceDE w:val="0"/>
        <w:autoSpaceDN w:val="0"/>
        <w:adjustRightInd w:val="0"/>
        <w:snapToGrid w:val="0"/>
        <w:spacing w:line="520" w:lineRule="exact"/>
        <w:ind w:firstLine="548" w:firstLineChars="196"/>
        <w:rPr>
          <w:rFonts w:hint="eastAsia"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昆明理工大学研究生学业奖学金由学校出资设立，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  <w:lang w:eastAsia="zh-CN"/>
        </w:rPr>
        <w:t>分为全日制研究生学业奖学金和非全日制硕士研究生学业奖学金。全日制研究生学业奖学金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适用于学制内在籍在读的全日制博士、硕士研究生。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  <w:lang w:eastAsia="zh-CN"/>
        </w:rPr>
        <w:t>非全日制硕士研究生学业奖学金适用于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  <w:lang w:val="en-US" w:eastAsia="zh-CN"/>
        </w:rPr>
        <w:t>学制内、在籍、在读、非定向、非带薪的非全日制硕士研究生。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 xml:space="preserve">奖金等级、标准和覆盖面如下： </w:t>
      </w:r>
    </w:p>
    <w:p>
      <w:pPr>
        <w:autoSpaceDE w:val="0"/>
        <w:autoSpaceDN w:val="0"/>
        <w:adjustRightInd w:val="0"/>
        <w:snapToGrid w:val="0"/>
        <w:spacing w:line="520" w:lineRule="exact"/>
        <w:ind w:firstLine="548" w:firstLineChars="196"/>
        <w:rPr>
          <w:rFonts w:hint="eastAsia" w:cs="宋体" w:asciiTheme="minorEastAsia" w:hAnsiTheme="minorEastAsia"/>
          <w:color w:val="auto"/>
          <w:kern w:val="0"/>
          <w:sz w:val="28"/>
          <w:szCs w:val="18"/>
        </w:rPr>
      </w:pPr>
    </w:p>
    <w:p>
      <w:pPr>
        <w:autoSpaceDE w:val="0"/>
        <w:autoSpaceDN w:val="0"/>
        <w:adjustRightInd w:val="0"/>
        <w:snapToGrid w:val="0"/>
        <w:spacing w:line="520" w:lineRule="exact"/>
        <w:ind w:firstLine="548" w:firstLineChars="196"/>
        <w:rPr>
          <w:rFonts w:hint="eastAsia" w:cs="宋体" w:asciiTheme="minorEastAsia" w:hAnsiTheme="minorEastAsia"/>
          <w:color w:val="auto"/>
          <w:kern w:val="0"/>
          <w:sz w:val="28"/>
          <w:szCs w:val="18"/>
        </w:rPr>
      </w:pPr>
    </w:p>
    <w:tbl>
      <w:tblPr>
        <w:tblStyle w:val="6"/>
        <w:tblW w:w="90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929"/>
        <w:gridCol w:w="2385"/>
        <w:gridCol w:w="2220"/>
        <w:gridCol w:w="136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792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</w:p>
        </w:tc>
        <w:tc>
          <w:tcPr>
            <w:tcW w:w="238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学业奖学金等级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奖金额度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（元/年）</w:t>
            </w:r>
          </w:p>
        </w:tc>
        <w:tc>
          <w:tcPr>
            <w:tcW w:w="136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覆盖面</w:t>
            </w:r>
          </w:p>
        </w:tc>
        <w:tc>
          <w:tcPr>
            <w:tcW w:w="12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9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博士</w:t>
            </w:r>
          </w:p>
        </w:tc>
        <w:tc>
          <w:tcPr>
            <w:tcW w:w="238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一等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15000</w:t>
            </w:r>
          </w:p>
        </w:tc>
        <w:tc>
          <w:tcPr>
            <w:tcW w:w="136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20%</w:t>
            </w:r>
          </w:p>
        </w:tc>
        <w:tc>
          <w:tcPr>
            <w:tcW w:w="12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79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</w:p>
        </w:tc>
        <w:tc>
          <w:tcPr>
            <w:tcW w:w="238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二等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12000</w:t>
            </w:r>
          </w:p>
        </w:tc>
        <w:tc>
          <w:tcPr>
            <w:tcW w:w="136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50%</w:t>
            </w:r>
          </w:p>
        </w:tc>
        <w:tc>
          <w:tcPr>
            <w:tcW w:w="12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9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</w:p>
        </w:tc>
        <w:tc>
          <w:tcPr>
            <w:tcW w:w="238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三等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10000</w:t>
            </w:r>
          </w:p>
        </w:tc>
        <w:tc>
          <w:tcPr>
            <w:tcW w:w="136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30%</w:t>
            </w:r>
          </w:p>
        </w:tc>
        <w:tc>
          <w:tcPr>
            <w:tcW w:w="12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6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硕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士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全日制</w:t>
            </w: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一等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</w:rPr>
              <w:t>8000</w:t>
            </w: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20%</w:t>
            </w: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二等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  <w:lang w:val="en-US" w:eastAsia="zh-CN"/>
              </w:rPr>
              <w:t>5000</w:t>
            </w: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%</w:t>
            </w: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三等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  <w:lang w:val="en-US" w:eastAsia="zh-CN"/>
              </w:rPr>
              <w:t>3000</w:t>
            </w: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13%</w:t>
            </w: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新生15%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优秀研究生干部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  <w:lang w:val="en-US" w:eastAsia="zh-CN"/>
              </w:rPr>
              <w:t>3000</w:t>
            </w: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2%</w:t>
            </w: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非全日制</w:t>
            </w: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一等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  <w:lang w:val="en-US" w:eastAsia="zh-CN"/>
              </w:rPr>
              <w:t>4000</w:t>
            </w: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10%</w:t>
            </w: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二等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8"/>
                <w:szCs w:val="18"/>
                <w:lang w:val="en-US" w:eastAsia="zh-CN"/>
              </w:rPr>
              <w:t>2000</w:t>
            </w: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20%</w:t>
            </w: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firstLine="562" w:firstLineChars="200"/>
        <w:jc w:val="left"/>
        <w:rPr>
          <w:rFonts w:cs="宋体" w:asciiTheme="minorEastAsia" w:hAnsiTheme="minorEastAsia"/>
          <w:b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b/>
          <w:color w:val="auto"/>
          <w:kern w:val="0"/>
          <w:sz w:val="28"/>
          <w:szCs w:val="18"/>
        </w:rPr>
        <w:t>二、助学政策</w:t>
      </w:r>
    </w:p>
    <w:p>
      <w:pPr>
        <w:snapToGrid w:val="0"/>
        <w:spacing w:line="360" w:lineRule="auto"/>
        <w:ind w:firstLine="560" w:firstLineChars="200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18"/>
        </w:rPr>
        <w:t>对家庭经济困难学生的资助，根据国家和云南省的相关政策，学校已制订了多项资助措施，学校决不让一个学生因家庭经济困难而辍学。</w:t>
      </w:r>
    </w:p>
    <w:p>
      <w:pPr>
        <w:snapToGrid w:val="0"/>
        <w:spacing w:line="360" w:lineRule="auto"/>
        <w:ind w:left="56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（一）研究生国家助学金</w:t>
      </w:r>
    </w:p>
    <w:p>
      <w:pPr>
        <w:spacing w:line="360" w:lineRule="auto"/>
        <w:ind w:firstLine="560" w:firstLineChars="20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研究生国家助学金覆盖全国研究生招生计划内的所有全日制研究生（有固定工资收入的除外）。博士生资助标准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  <w:lang w:eastAsia="zh-CN"/>
        </w:rPr>
        <w:t>为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每生每年13000元，硕士生资助标准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  <w:lang w:eastAsia="zh-CN"/>
        </w:rPr>
        <w:t>为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每生每年6000元。</w:t>
      </w:r>
    </w:p>
    <w:p>
      <w:pPr>
        <w:spacing w:line="360" w:lineRule="auto"/>
        <w:ind w:firstLine="57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（二）研究生“三助”岗位</w:t>
      </w:r>
    </w:p>
    <w:p>
      <w:pPr>
        <w:spacing w:line="360" w:lineRule="auto"/>
        <w:ind w:firstLine="57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学校建立研究生助教、助研、助管（简称“三助”）制度，助研津贴主要通过科研项目经费中的劳务费列支，学校出资设立研究生助教、助管专项经费。</w:t>
      </w:r>
    </w:p>
    <w:p>
      <w:pPr>
        <w:spacing w:line="360" w:lineRule="auto"/>
        <w:ind w:firstLine="57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（三）国家助学贷款政策</w:t>
      </w:r>
    </w:p>
    <w:p>
      <w:pPr>
        <w:spacing w:line="360" w:lineRule="auto"/>
        <w:ind w:firstLine="57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全国已开展</w:t>
      </w:r>
      <w:r>
        <w:rPr>
          <w:rFonts w:hint="eastAsia" w:cs="宋体" w:asciiTheme="minorEastAsia" w:hAnsiTheme="minorEastAsia"/>
          <w:b/>
          <w:color w:val="auto"/>
          <w:kern w:val="0"/>
          <w:sz w:val="28"/>
          <w:szCs w:val="18"/>
        </w:rPr>
        <w:t>生源地信用助学贷款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业务的省（市）有：云南、贵州、重庆、四川、广西、江苏、安徽、江西、湖南、湖北、陕西、甘肃、宁夏、青海、内蒙古、山东、青岛、海南、山西、吉林、河北、黑龙江、福建、辽宁省等。凡属以上生源地的新生，因家庭经济困难而需要申请助学贷款的，请在入学前向家庭所在县（市、区）的教育部门的资助中心申请生源地信用助学贷款。</w:t>
      </w:r>
    </w:p>
    <w:p>
      <w:pPr>
        <w:spacing w:line="360" w:lineRule="auto"/>
        <w:ind w:firstLine="57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国家开发银行助学贷款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  <w:lang w:eastAsia="zh-CN"/>
        </w:rPr>
        <w:t>信息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网：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"http://www.csls.cdb.com.cn/" </w:instrText>
      </w:r>
      <w:r>
        <w:rPr>
          <w:color w:val="auto"/>
        </w:rPr>
        <w:fldChar w:fldCharType="separate"/>
      </w:r>
      <w:r>
        <w:rPr>
          <w:rStyle w:val="8"/>
          <w:rFonts w:cs="宋体" w:asciiTheme="minorEastAsia" w:hAnsiTheme="minorEastAsia"/>
          <w:color w:val="auto"/>
          <w:kern w:val="0"/>
          <w:sz w:val="28"/>
          <w:szCs w:val="18"/>
        </w:rPr>
        <w:t>http://www</w:t>
      </w:r>
      <w:bookmarkStart w:id="0" w:name="_GoBack"/>
      <w:bookmarkEnd w:id="0"/>
      <w:r>
        <w:rPr>
          <w:rStyle w:val="8"/>
          <w:rFonts w:cs="宋体" w:asciiTheme="minorEastAsia" w:hAnsiTheme="minorEastAsia"/>
          <w:color w:val="auto"/>
          <w:kern w:val="0"/>
          <w:sz w:val="28"/>
          <w:szCs w:val="18"/>
        </w:rPr>
        <w:t>.csls.cdb.com.cn/</w:t>
      </w:r>
      <w:r>
        <w:rPr>
          <w:rStyle w:val="8"/>
          <w:rFonts w:cs="宋体" w:asciiTheme="minorEastAsia" w:hAnsiTheme="minorEastAsia"/>
          <w:color w:val="auto"/>
          <w:kern w:val="0"/>
          <w:sz w:val="28"/>
          <w:szCs w:val="18"/>
        </w:rPr>
        <w:fldChar w:fldCharType="end"/>
      </w:r>
    </w:p>
    <w:p>
      <w:pPr>
        <w:spacing w:line="360" w:lineRule="auto"/>
        <w:ind w:firstLine="570"/>
        <w:jc w:val="left"/>
        <w:rPr>
          <w:rFonts w:cs="宋体" w:asciiTheme="minorEastAsia" w:hAnsiTheme="minorEastAsia"/>
          <w:color w:val="auto"/>
          <w:kern w:val="0"/>
          <w:sz w:val="28"/>
          <w:szCs w:val="18"/>
        </w:rPr>
      </w:pPr>
      <w:r>
        <w:rPr>
          <w:rFonts w:cs="宋体" w:asciiTheme="minorEastAsia" w:hAnsiTheme="minorEastAsia"/>
          <w:color w:val="auto"/>
          <w:kern w:val="0"/>
          <w:sz w:val="28"/>
          <w:szCs w:val="18"/>
        </w:rPr>
        <w:t>助学贷款呼叫中心</w:t>
      </w: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：</w:t>
      </w:r>
      <w:r>
        <w:rPr>
          <w:rFonts w:cs="宋体" w:asciiTheme="minorEastAsia" w:hAnsiTheme="minorEastAsia"/>
          <w:color w:val="auto"/>
          <w:kern w:val="0"/>
          <w:sz w:val="28"/>
          <w:szCs w:val="18"/>
        </w:rPr>
        <w:t>95593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18"/>
        </w:rPr>
        <w:t>（四）学校还将通过发放临时困难补助、开辟入学“绿色通道”等方式，加大对家庭经济困难研究生的资助力度，确保不让一个学生因家庭经济困难而失学。确需通过“绿色通道”入学的新同学，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请于2019年8月5日以后查看学校迎新网（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instrText xml:space="preserve">INCLUDEPICTURE \d "C:\\Users\\ADMINI~1\\AppData\\Local\\Temp\\%W@GJ$ACOF(TYDYECOKVDYB.png" \* MERGEFORMATINET </w:instrTex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190500" cy="1428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 xml:space="preserve">http://yx.kmust.edu.cn）通知，根据通知要求办理。 </w:t>
      </w:r>
    </w:p>
    <w:p>
      <w:pPr>
        <w:spacing w:line="360" w:lineRule="auto"/>
        <w:ind w:firstLine="560" w:firstLineChars="200"/>
        <w:rPr>
          <w:rFonts w:cs="宋体" w:asciiTheme="minorEastAsia" w:hAnsiTheme="minorEastAsia"/>
          <w:color w:val="auto"/>
          <w:kern w:val="0"/>
          <w:sz w:val="28"/>
          <w:szCs w:val="28"/>
        </w:rPr>
      </w:pPr>
    </w:p>
    <w:p>
      <w:pPr>
        <w:pStyle w:val="5"/>
        <w:ind w:firstLine="492"/>
        <w:rPr>
          <w:rFonts w:cs="宋体" w:asciiTheme="minorEastAsia" w:hAnsiTheme="minorEastAsia" w:eastAsiaTheme="minorEastAsia"/>
          <w:b/>
          <w:color w:val="000000"/>
          <w:kern w:val="0"/>
          <w:sz w:val="28"/>
          <w:szCs w:val="18"/>
        </w:rPr>
      </w:pPr>
    </w:p>
    <w:p>
      <w:pPr>
        <w:spacing w:line="360" w:lineRule="auto"/>
        <w:ind w:firstLine="570"/>
        <w:jc w:val="left"/>
        <w:rPr>
          <w:rFonts w:cs="宋体" w:asciiTheme="minorEastAsia" w:hAnsiTheme="minorEastAsia"/>
          <w:color w:val="000000"/>
          <w:kern w:val="0"/>
          <w:sz w:val="28"/>
          <w:szCs w:val="18"/>
        </w:rPr>
      </w:pPr>
    </w:p>
    <w:p>
      <w:pPr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5547"/>
    <w:rsid w:val="00027275"/>
    <w:rsid w:val="00041FFF"/>
    <w:rsid w:val="000547B0"/>
    <w:rsid w:val="0025339A"/>
    <w:rsid w:val="002549EB"/>
    <w:rsid w:val="002F2D7D"/>
    <w:rsid w:val="00315C08"/>
    <w:rsid w:val="003A5DCC"/>
    <w:rsid w:val="00412C97"/>
    <w:rsid w:val="00416AB3"/>
    <w:rsid w:val="00444402"/>
    <w:rsid w:val="004A1CA9"/>
    <w:rsid w:val="004B6712"/>
    <w:rsid w:val="004E0A27"/>
    <w:rsid w:val="00620E56"/>
    <w:rsid w:val="006C5892"/>
    <w:rsid w:val="00724F6D"/>
    <w:rsid w:val="00785577"/>
    <w:rsid w:val="00795547"/>
    <w:rsid w:val="008C7A37"/>
    <w:rsid w:val="00A86C22"/>
    <w:rsid w:val="00A90B0E"/>
    <w:rsid w:val="00BC35F2"/>
    <w:rsid w:val="00BE752C"/>
    <w:rsid w:val="00C82CEE"/>
    <w:rsid w:val="00CD5679"/>
    <w:rsid w:val="00D47F1B"/>
    <w:rsid w:val="00D6117F"/>
    <w:rsid w:val="00D94575"/>
    <w:rsid w:val="00F70DFB"/>
    <w:rsid w:val="00F76A5E"/>
    <w:rsid w:val="00FA654E"/>
    <w:rsid w:val="17392107"/>
    <w:rsid w:val="19B27013"/>
    <w:rsid w:val="36F80308"/>
    <w:rsid w:val="37301538"/>
    <w:rsid w:val="37E254BD"/>
    <w:rsid w:val="43687300"/>
    <w:rsid w:val="4B293341"/>
    <w:rsid w:val="6A51243B"/>
    <w:rsid w:val="76067384"/>
    <w:rsid w:val="78FA6B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1"/>
    <w:qFormat/>
    <w:uiPriority w:val="0"/>
    <w:pPr>
      <w:spacing w:line="360" w:lineRule="auto"/>
      <w:ind w:firstLine="490" w:firstLineChars="204"/>
    </w:pPr>
    <w:rPr>
      <w:rFonts w:ascii="Times New Roman" w:hAnsi="Times New Roman" w:eastAsia="宋体" w:cs="Times New Roman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正文文本缩进 3 Char"/>
    <w:basedOn w:val="7"/>
    <w:link w:val="5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正文文本缩进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232</Words>
  <Characters>1323</Characters>
  <Lines>11</Lines>
  <Paragraphs>3</Paragraphs>
  <TotalTime>1</TotalTime>
  <ScaleCrop>false</ScaleCrop>
  <LinksUpToDate>false</LinksUpToDate>
  <CharactersWithSpaces>1552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2017-06-07T01:10:00Z</dcterms:created>
  <dc:creator>Sky123.Org</dc:creator>
  <cp:lastModifiedBy>马宁</cp:lastModifiedBy>
  <dcterms:modified xsi:type="dcterms:W3CDTF">2019-06-14T01:23:47Z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